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Сhwilówka dla każdego – proces i bezpieczeństwo</w:t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Сhwilówka dla każdego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to określenie stosowane wobec ofert kierowanych do szerokiego grona klientów, z uwzględnieniem różnych sytuacji finansowych. W ramach procedury przed zawarciem umowy prezentowane są podstawowe parametry, takie jak dostępna kwota, koszty oraz termin spłaty. Przebieg wnioskowania, zakres wymaganych danych oraz sposób ich weryfikacji zależą od zasad obowiązujących u pożyczkodawcy.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95972" cy="3024000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5972" cy="30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Jeśli decyzja wydana przez pożyczkodawcę jest pozytywna, środki trafiają na konto zwykle tego samego dnia. Formalności ograniczone są do minimum, a cały proces zachowuje przejrzystość i bezpieczeństwo. </w:t>
      </w:r>
      <w:r w:rsidDel="00000000" w:rsidR="00000000" w:rsidRPr="00000000">
        <w:rPr>
          <w:color w:val="1f4e79"/>
          <w:sz w:val="24"/>
          <w:szCs w:val="24"/>
          <w:u w:val="none"/>
          <w:rtl w:val="0"/>
        </w:rPr>
        <w:t xml:space="preserve">Сhwilówka dla każdego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 umożliwia dostęp do funduszy przy zachowaniu pełnej kontroli nad procedurą i ochroną danych.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99497" cy="30240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497" cy="30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4D729E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4D72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1A14B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D52A65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52A65"/>
  </w:style>
  <w:style w:type="paragraph" w:styleId="Stopka">
    <w:name w:val="footer"/>
    <w:basedOn w:val="Normalny"/>
    <w:link w:val="StopkaZnak"/>
    <w:uiPriority w:val="99"/>
    <w:unhideWhenUsed w:val="1"/>
    <w:rsid w:val="00D52A65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52A6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chwilowka-dla-kazdego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RDpfBHAj5l+TrzikrHo0p1IGw==">CgMxLjA4AHIhMXF2NVlLSXZrVjVWaGRrVDVLM1RZYndNMXR1Ym5hSkk4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2026-03-08T14:50:00Z</dcterms:created>
  <dc:creator>Обліковий запис Microsoft</dc:creator>
</cp:coreProperties>
</file>