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Mocna pożyczka – szybki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Mocna pożyczka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określenie używane marketingowo – najczęściej odnosi się do ofert z wyższą kwotą finansowania i sprawnym procesem decyzji.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Przed zawarciem umowy prezentowane są kluczowe parametry, takie jak koszty, okres spłaty oraz ewentualne wymagania formalne. Sposób złożenia wniosku i przebieg procedury zależą od zasad przyjętych przez pożyczkodawcę, który dokonuje oceny przekazanych danych.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95586" cy="2916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586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AE44D5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AE44D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631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A67B20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67B20"/>
  </w:style>
  <w:style w:type="paragraph" w:styleId="Stopka">
    <w:name w:val="footer"/>
    <w:basedOn w:val="Normalny"/>
    <w:link w:val="StopkaZnak"/>
    <w:uiPriority w:val="99"/>
    <w:unhideWhenUsed w:val="1"/>
    <w:rsid w:val="00A67B20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67B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mocna-pozyczka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/plUsQ9X8hW28H7Z8MGwfmBqg==">CgMxLjA4AHIhMXR2eEE3TlVEZFdxaUk3N1BKcUNxTG9GaXhGY25RWXpm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