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Pożyczka online dla Ukraińców – prosty proces online</w:t>
      </w:r>
    </w:p>
    <w:p w:rsidR="00000000" w:rsidDel="00000000" w:rsidP="00000000" w:rsidRDefault="00000000" w:rsidRPr="00000000" w14:paraId="00000002">
      <w:pPr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Pożyczka online dla Ukraińców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odnosi się do ofert finansowania dostępnych dla obcokrajowców. </w:t>
        <w:br w:type="textWrapping"/>
        <w:t xml:space="preserve">W takich przypadkach wnioskowanie odbywa się z wykorzystaniem formularza internetowego, </w:t>
        <w:br w:type="textWrapping"/>
        <w:t xml:space="preserve">a przed zawarciem umowy udostępniane są informacje dotyczące dostępnej kwoty, kosztów oraz terminu spłaty. Zakres wymaganych danych i sposób weryfikacji zależą od zasad stosowanych przez pożyczkodawcę.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202777" cy="291600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2777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Proces składa się z trzech kroków: wybór kwoty, weryfikacja danych osobowych oraz otrzymanie decyzji od pożyczkodawcy. Jeśli wydana decyzja jest pozytywna, środki trafiają na konto zwykle tego samego dnia. Dzięki temu użytkownik dokładnie rozumie przebieg procedury i wie, czego oczekiwać po weryfikacji, bez konieczności osobistego kontaktu z pożyczkodawcą.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195586" cy="2916000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5586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8F7DD8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8F7DD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1579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F10764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10764"/>
  </w:style>
  <w:style w:type="paragraph" w:styleId="Stopka">
    <w:name w:val="footer"/>
    <w:basedOn w:val="Normalny"/>
    <w:link w:val="StopkaZnak"/>
    <w:uiPriority w:val="99"/>
    <w:unhideWhenUsed w:val="1"/>
    <w:rsid w:val="00F10764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1076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pozyczki-online/dla-ukraincow/" TargetMode="Externa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8DW+r5zvz5yWYZSPw5UQd2Zu8Q==">CgMxLjA4AHIhMXNaVktCT29WaDRnOVJoRkVfMjlXMnc5VUl1RnV6RDJf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2026-03-08T14:47:00Z</dcterms:created>
  <dc:creator>Обліковий запис Microsoft</dc:creator>
</cp:coreProperties>
</file>